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D6066"/>
          <w:sz w:val="16"/>
        </w:rPr>
        <w:t>CDKN · TECZKA DYREKTORA · LM11</w:t>
      </w:r>
    </w:p>
    <w:p>
      <w:r>
        <w:rPr>
          <w:b/>
          <w:sz w:val="34"/>
        </w:rPr>
        <w:t>Scenariusz trudnej rozmowy z rodzicem</w:t>
      </w:r>
    </w:p>
    <w:p>
      <w:r>
        <w:rPr>
          <w:color w:val="5D6066"/>
          <w:sz w:val="18"/>
        </w:rPr>
        <w:t>Wersja 2026-08-v1 · stan prawny na 2026-08-20</w:t>
      </w:r>
    </w:p>
    <w:p/>
    <w:p>
      <w:r>
        <w:rPr>
          <w:b/>
          <w:sz w:val="25"/>
        </w:rPr>
        <w:t>Ważne przed użyciem</w:t>
      </w:r>
    </w:p>
    <w:p>
      <w:r>
        <w:t>Scenariusz pomaga poprowadzić rozmowę. Nie rozstrzyga skargi, nie zastępuje procedury bezpieczeństwa ani indywidualnej analizy prawnej. Przykładowe zdania są rekomendacjami komunikacyjnymi. Nie wolno podczas rozmowy ujawniać informacji o innych dzieciach ani obiecywać decyzji, której prowadzący nie może podjąć.</w:t>
      </w:r>
    </w:p>
    <w:p>
      <w:r>
        <w:rPr>
          <w:b/>
          <w:sz w:val="25"/>
        </w:rPr>
        <w:t>Podstawa</w:t>
      </w:r>
    </w:p>
    <w:p>
      <w:r>
        <w:t>PRZEPIS</w:t>
      </w:r>
    </w:p>
    <w:p>
      <w:pPr>
        <w:pStyle w:val="ListBullet"/>
      </w:pPr>
      <w:r>
        <w:t>Art. 68 ust. 6 Prawa oświatowego przewiduje współpracę dyrektora z rodzicami i organami społecznymi szkoły.</w:t>
      </w:r>
    </w:p>
    <w:p>
      <w:pPr>
        <w:pStyle w:val="ListBullet"/>
      </w:pPr>
      <w:r>
        <w:t>Art. 63 ust. 1 Karty Nauczyciela, tekst jedn. Dz.U. z 2026 r. poz. 515, przyznaje nauczycielowi podczas lub w związku z pełnieniem obowiązków służbowych ochronę przewidzianą dla funkcjonariuszy publicznych.</w:t>
      </w:r>
    </w:p>
    <w:p>
      <w:pPr>
        <w:pStyle w:val="ListBullet"/>
      </w:pPr>
      <w:r>
        <w:t>Art. 11¹ ustawy z 26 czerwca 1974 r. – Kodeks pracy, tekst jedn. Dz.U. z 2025 r. poz. 277 ze zm., nakłada na pracodawcę obowiązek poszanowania godności i innych dóbr osobistych pracownika.</w:t>
      </w:r>
    </w:p>
    <w:p>
      <w:pPr>
        <w:pStyle w:val="ListBullet"/>
      </w:pPr>
      <w:r>
        <w:t>Art. 5 i 32 RODO ograniczają zakres ujawnianych danych i wymagają ich zabezpieczenia.</w:t>
      </w:r>
    </w:p>
    <w:p>
      <w:pPr>
        <w:pStyle w:val="ListBullet"/>
      </w:pPr>
      <w:r>
        <w:t>Art. 23–24 ustawy z 23 kwietnia 1964 r. – Kodeks cywilny, tekst jedn. Dz.U. z 2026 r. poz. 795 ze zm., chronią dobra osobiste.</w:t>
      </w:r>
    </w:p>
    <w:p>
      <w:r>
        <w:t>REKOMENDACJA CDKN</w:t>
      </w:r>
    </w:p>
    <w:p>
      <w:r>
        <w:t>Rozmowa ma jeden cel, ustalony czas i zapisane zakończenie. W sprawie o wysokim poziomie konfliktu uczestniczą dwie osoby ze szkoły.</w:t>
      </w:r>
    </w:p>
    <w:p>
      <w:r>
        <w:t>DECYZJA PLACÓWKI</w:t>
      </w:r>
    </w:p>
    <w:p>
      <w:r>
        <w:t>Placówka ustala, kiedy rozmowę prowadzi dyrektor, kiedy potrzebna jest druga osoba i w jakich sytuacjach spotkanie zostaje przerwane.</w:t>
      </w:r>
    </w:p>
    <w:p>
      <w:r>
        <w:rPr>
          <w:b/>
          <w:sz w:val="25"/>
        </w:rPr>
        <w:t>Treść właściwa</w:t>
      </w:r>
    </w:p>
    <w:p>
      <w:r>
        <w:rPr>
          <w:b/>
          <w:sz w:val="22"/>
        </w:rPr>
        <w:t>A. Karta przygotowania</w:t>
      </w:r>
    </w:p>
    <w:p>
      <w:r>
        <w:t>Data i forma spotkania: [........................................................]</w:t>
      </w:r>
    </w:p>
    <w:p>
      <w:r>
        <w:t>Prowadzący: [................................]</w:t>
      </w:r>
    </w:p>
    <w:p>
      <w:r>
        <w:t>Druga osoba i jej rola: [................................]</w:t>
      </w:r>
    </w:p>
    <w:p>
      <w:r>
        <w:t>Rodzic/opiekun: [................................]</w:t>
      </w:r>
    </w:p>
    <w:p>
      <w:r>
        <w:t>Uczeń i klasa — tylko jeśli potrzebne: [................................]</w:t>
      </w:r>
    </w:p>
    <w:p>
      <w:r>
        <w:t>Jeden cel rozmowy:</w:t>
      </w:r>
    </w:p>
    <w:p>
      <w:r>
        <w:t>[........................................................................................]</w:t>
      </w:r>
    </w:p>
    <w:p>
      <w:r>
        <w:t>*np. ustalenie sposobu przekazywania informacji i kolejnego działania; nie „przekonanie rodzica, że nie ma racji”*</w:t>
      </w:r>
    </w:p>
    <w:p>
      <w:r>
        <w:t>Fakty potwierdzone w dokumentacji:</w:t>
      </w:r>
    </w:p>
    <w:p>
      <w:pPr>
        <w:pStyle w:val="ListNumber"/>
      </w:pPr>
      <w:r>
        <w:t>[....................................................................................]</w:t>
      </w:r>
    </w:p>
    <w:p>
      <w:pPr>
        <w:pStyle w:val="ListNumber"/>
      </w:pPr>
      <w:r>
        <w:t>[....................................................................................]</w:t>
      </w:r>
    </w:p>
    <w:p>
      <w:pPr>
        <w:pStyle w:val="ListNumber"/>
      </w:pPr>
      <w:r>
        <w:t>[....................................................................................]</w:t>
      </w:r>
    </w:p>
    <w:p>
      <w:r>
        <w:t>Informacje niepotwierdzone lub wymagające sprawdzenia:</w:t>
      </w:r>
    </w:p>
    <w:p>
      <w:r>
        <w:t>[........................................................................................]</w:t>
      </w:r>
    </w:p>
    <w:p>
      <w:r>
        <w:t>Czego nie możemy omówić z uwagi na prywatność innych osób:</w:t>
      </w:r>
    </w:p>
    <w:p>
      <w:r>
        <w:t>[........................................................................................]</w:t>
      </w:r>
    </w:p>
    <w:p>
      <w:r>
        <w:t>Decyzje, które prowadzący może podjąć: [............................................]</w:t>
      </w:r>
    </w:p>
    <w:p>
      <w:r>
        <w:t>Decyzje wymagające innej osoby/trybu: [..............................................]</w:t>
      </w:r>
    </w:p>
    <w:p>
      <w:r>
        <w:rPr>
          <w:b/>
          <w:sz w:val="22"/>
        </w:rPr>
        <w:t>B. Przebieg rozmowy</w:t>
      </w:r>
    </w:p>
    <w:p>
      <w:r>
        <w:rPr>
          <w:b/>
          <w:sz w:val="22"/>
        </w:rPr>
        <w:t>1. Otwarcie — do 2 minut</w:t>
      </w:r>
    </w:p>
    <w:p>
      <w:pPr>
        <w:ind w:left="340"/>
      </w:pPr>
      <w:r>
        <w:rPr>
          <w:i/>
          <w:color w:val="5D6066"/>
        </w:rPr>
        <w:t>„Dziękuję za przyjście. Celem rozmowy jest [cel]. Mamy do dyspozycji [czas]. Chcę najpierw ustalić fakty, potem możliwe działania i termin kolejnej informacji.”</w:t>
      </w:r>
    </w:p>
    <w:p>
      <w:pPr>
        <w:ind w:left="340"/>
      </w:pPr>
      <w:r>
        <w:rPr>
          <w:i/>
          <w:color w:val="5D6066"/>
        </w:rPr>
        <w:t>„Nie będę omawiać danych innych dzieci ani spraw pracowniczych. Mogę wyjaśnić działania dotyczące Państwa dziecka i procedurę szkoły.”</w:t>
      </w:r>
    </w:p>
    <w:p>
      <w:r>
        <w:rPr>
          <w:b/>
          <w:sz w:val="22"/>
        </w:rPr>
        <w:t>2. Perspektywa rodzica</w:t>
      </w:r>
    </w:p>
    <w:p>
      <w:pPr>
        <w:ind w:left="340"/>
      </w:pPr>
      <w:r>
        <w:rPr>
          <w:i/>
          <w:color w:val="5D6066"/>
        </w:rPr>
        <w:t>„Proszę wskazać najważniejszą rzecz, którą szkoła powinna dziś zrozumieć.”</w:t>
      </w:r>
    </w:p>
    <w:p>
      <w:pPr>
        <w:ind w:left="340"/>
      </w:pPr>
      <w:r>
        <w:rPr>
          <w:i/>
          <w:color w:val="5D6066"/>
        </w:rPr>
        <w:t>„Które zdarzenie ma dla Państwa największe znaczenie? Proszę podać datę, miejsce albo osoby, jeżeli są znane.”</w:t>
      </w:r>
    </w:p>
    <w:p>
      <w:r>
        <w:t>Prowadzący notuje tezy. Nie przerywa w celu obrony szkoły. Po wypowiedzi porządkuje:</w:t>
      </w:r>
    </w:p>
    <w:p>
      <w:pPr>
        <w:ind w:left="340"/>
      </w:pPr>
      <w:r>
        <w:rPr>
          <w:i/>
          <w:color w:val="5D6066"/>
        </w:rPr>
        <w:t>„Usłyszałem trzy kwestie: [1], [2], [3]. Czy dobrze je zapisałem?”</w:t>
      </w:r>
    </w:p>
    <w:p>
      <w:r>
        <w:rPr>
          <w:b/>
          <w:sz w:val="22"/>
        </w:rPr>
        <w:t>3. Oddzielenie faktów od oceny</w:t>
      </w:r>
    </w:p>
    <w:p>
      <w:pPr>
        <w:ind w:left="340"/>
      </w:pPr>
      <w:r>
        <w:rPr>
          <w:i/>
          <w:color w:val="5D6066"/>
        </w:rPr>
        <w:t>„W dokumentacji mamy potwierdzone [fakt]. Informację o [kwestia] musimy jeszcze sprawdzić. Nie chcę przedstawiać przypuszczenia jako ustalenia.”</w:t>
      </w:r>
    </w:p>
    <w:p>
      <w:pPr>
        <w:ind w:left="340"/>
      </w:pPr>
      <w:r>
        <w:rPr>
          <w:i/>
          <w:color w:val="5D6066"/>
        </w:rPr>
        <w:t>„Rozumiem, że oceniają Państwo tę sytuację jako [neutralna parafraza]. Szkoła może dziś potwierdzić [fakt].”</w:t>
      </w:r>
    </w:p>
    <w:p>
      <w:r>
        <w:rPr>
          <w:b/>
          <w:sz w:val="22"/>
        </w:rPr>
        <w:t>4. Reakcja na zarzut</w:t>
      </w:r>
    </w:p>
    <w:p>
      <w:r>
        <w:t>Zarzut: „Szkoła nic nie zrobiła”.</w:t>
      </w:r>
    </w:p>
    <w:p>
      <w:pPr>
        <w:ind w:left="340"/>
      </w:pPr>
      <w:r>
        <w:rPr>
          <w:i/>
          <w:color w:val="5D6066"/>
        </w:rPr>
        <w:t>„Mogę wskazać działania, które zostały wykonane: [działania możliwe do ujawnienia]. Nie mogę omawiać konsekwencji dotyczących innego ucznia. Sprawdzę natomiast [konkretny brak] do [termin].”</w:t>
      </w:r>
    </w:p>
    <w:p>
      <w:r>
        <w:t>Zarzut: „Nauczyciel kłamie”.</w:t>
      </w:r>
    </w:p>
    <w:p>
      <w:pPr>
        <w:ind w:left="340"/>
      </w:pPr>
      <w:r>
        <w:rPr>
          <w:i/>
          <w:color w:val="5D6066"/>
        </w:rPr>
        <w:t>„Nie rozstrzygnę tego na podstawie samego określenia. Zapiszę, które informacje są sprzeczne, i sprawdzimy źródła: [źródła].”</w:t>
      </w:r>
    </w:p>
    <w:p>
      <w:r>
        <w:t>Zarzut: „Powiem o tym w kuratorium/mediach”.</w:t>
      </w:r>
    </w:p>
    <w:p>
      <w:pPr>
        <w:ind w:left="340"/>
      </w:pPr>
      <w:r>
        <w:rPr>
          <w:i/>
          <w:color w:val="5D6066"/>
        </w:rPr>
        <w:t>„Mają Państwo prawo skorzystać z dostępnych środków. Z naszej strony dokończymy ustalenia i przekażemy odpowiedź w uzgodnionym trybie.”</w:t>
      </w:r>
    </w:p>
    <w:p>
      <w:r>
        <w:t>Żądanie danych innego dziecka.</w:t>
      </w:r>
    </w:p>
    <w:p>
      <w:pPr>
        <w:ind w:left="340"/>
      </w:pPr>
      <w:r>
        <w:rPr>
          <w:i/>
          <w:color w:val="5D6066"/>
        </w:rPr>
        <w:t>„Nie mogę przekazać informacji o innym uczniu. Mogę omówić bezpieczeństwo Państwa dziecka, działania szkoły i dalszy kontakt.”</w:t>
      </w:r>
    </w:p>
    <w:p>
      <w:r>
        <w:rPr>
          <w:b/>
          <w:sz w:val="22"/>
        </w:rPr>
        <w:t>5. Komunikat graniczny</w:t>
      </w:r>
    </w:p>
    <w:p>
      <w:r>
        <w:t>Pierwsze ostrzeżenie:</w:t>
      </w:r>
    </w:p>
    <w:p>
      <w:pPr>
        <w:ind w:left="340"/>
      </w:pPr>
      <w:r>
        <w:rPr>
          <w:i/>
          <w:color w:val="5D6066"/>
        </w:rPr>
        <w:t>„Chcę kontynuować rozmowę. Nie zgodzę się jednak na obrażanie ani krzyk uniemożliwiający rozmowę. Jeżeli to się powtórzy, przerwiemy spotkanie i ustalimy inną formę kontaktu.”</w:t>
      </w:r>
    </w:p>
    <w:p>
      <w:r>
        <w:t>Drugie ostrzeżenie i przerwanie:</w:t>
      </w:r>
    </w:p>
    <w:p>
      <w:pPr>
        <w:ind w:left="340"/>
      </w:pPr>
      <w:r>
        <w:rPr>
          <w:i/>
          <w:color w:val="5D6066"/>
        </w:rPr>
        <w:t>„Nie możemy teraz prowadzić rozmowy w bezpiecznych warunkach. Przerywam spotkanie. Do [termin] przekażemy propozycję dalszego kontaktu [pisemnie/z udziałem drugiej osoby].”</w:t>
      </w:r>
    </w:p>
    <w:p>
      <w:r>
        <w:t>W razie groźby lub zagrożenia pracownik korzysta z procedury bezpieczeństwa. Nie podejmuje dyskusji o tym, czy groźba była „na serio”.</w:t>
      </w:r>
    </w:p>
    <w:p>
      <w:r>
        <w:rPr>
          <w:b/>
          <w:sz w:val="22"/>
        </w:rPr>
        <w:t>6. Zamknięcie z ustaleniem</w:t>
      </w:r>
    </w:p>
    <w:p>
      <w:pPr>
        <w:ind w:left="340"/>
      </w:pPr>
      <w:r>
        <w:rPr>
          <w:i/>
          <w:color w:val="5D6066"/>
        </w:rPr>
        <w:t>„Ustalamy: szkoła wykona [działanie] do [termin]; Państwo przekażą [informacja/dokument] przez [kanał]; kolejny kontakt nastąpi [data i forma]. Sprawy dotyczące innych osób pozostają poufne.”</w:t>
      </w:r>
    </w:p>
    <w:p>
      <w:r>
        <w:rPr>
          <w:b/>
          <w:sz w:val="22"/>
        </w:rPr>
        <w:t>C. Karta ustaleń po rozmowie</w:t>
      </w:r>
    </w:p>
    <w:p>
      <w:r>
        <w:t>Ustalenie     Odpowiedzialny     Termin     Sposób potwierdzenia</w:t>
      </w:r>
    </w:p>
    <w:p>
      <w:r>
        <w:t>---   ---   ---   ---</w:t>
      </w:r>
    </w:p>
    <w:p>
      <w:r>
        <w:t>[................]     [................]     [................]     [................]</w:t>
      </w:r>
    </w:p>
    <w:p>
      <w:r>
        <w:t>[................]     [................]     [................]     [................]</w:t>
      </w:r>
    </w:p>
    <w:p>
      <w:r>
        <w:t>Czy sporządzono LM9? [ ] tak [ ] nie — brak potrzeby</w:t>
      </w:r>
    </w:p>
    <w:p>
      <w:r>
        <w:t>Czy uruchomiono inną procedurę? [................................................]</w:t>
      </w:r>
    </w:p>
    <w:p>
      <w:r>
        <w:rPr>
          <w:b/>
          <w:sz w:val="25"/>
        </w:rPr>
        <w:t>Decyzje placówki</w:t>
      </w:r>
    </w:p>
    <w:p>
      <w:pPr>
        <w:pStyle w:val="ListNumber"/>
      </w:pPr>
      <w:r>
        <w:t>Kryteria obecności dwóch pracowników.</w:t>
      </w:r>
    </w:p>
    <w:p>
      <w:pPr>
        <w:pStyle w:val="ListNumber"/>
      </w:pPr>
      <w:r>
        <w:t>Maksymalny czas i forma spotkania.</w:t>
      </w:r>
    </w:p>
    <w:p>
      <w:pPr>
        <w:pStyle w:val="ListNumber"/>
      </w:pPr>
      <w:r>
        <w:t>Osoba podejmująca sprawy poza kompetencją wychowawcy.</w:t>
      </w:r>
    </w:p>
    <w:p>
      <w:pPr>
        <w:pStyle w:val="ListNumber"/>
      </w:pPr>
      <w:r>
        <w:t>Procedura na wypadek groźby, agresji lub odmowy opuszczenia placówki.</w:t>
      </w:r>
    </w:p>
    <w:p>
      <w:pPr>
        <w:pStyle w:val="ListNumber"/>
      </w:pPr>
      <w:r>
        <w:t>Zasady nagrywania — [DO WERYFIKACJI PRAWNEJ].</w:t>
      </w:r>
    </w:p>
    <w:p>
      <w:pPr>
        <w:pStyle w:val="ListNumber"/>
      </w:pPr>
      <w:r>
        <w:t>Sposób dokumentowania ustaleń przez LM9.</w:t>
      </w:r>
    </w:p>
    <w:p>
      <w:r>
        <w:rPr>
          <w:b/>
          <w:sz w:val="25"/>
        </w:rPr>
        <w:t>Czego nie wpisywać</w:t>
      </w:r>
    </w:p>
    <w:p>
      <w:pPr>
        <w:pStyle w:val="ListBullet"/>
      </w:pPr>
      <w:r>
        <w:t>Danych i konsekwencji dotyczących innego ucznia.</w:t>
      </w:r>
    </w:p>
    <w:p>
      <w:pPr>
        <w:pStyle w:val="ListBullet"/>
      </w:pPr>
      <w:r>
        <w:t>„Szkoła przyznaje, że…” bez ustaleń i upoważnienia.</w:t>
      </w:r>
    </w:p>
    <w:p>
      <w:pPr>
        <w:pStyle w:val="ListBullet"/>
      </w:pPr>
      <w:r>
        <w:t>Diagnozy rodzica lub dziecka.</w:t>
      </w:r>
    </w:p>
    <w:p>
      <w:pPr>
        <w:pStyle w:val="ListBullet"/>
      </w:pPr>
      <w:r>
        <w:t>Obietnicy wyniku postępowania.</w:t>
      </w:r>
    </w:p>
    <w:p>
      <w:pPr>
        <w:pStyle w:val="ListBullet"/>
      </w:pPr>
      <w:r>
        <w:t>Groźby odwetowej: „jeśli pójdą Państwo do kuratorium…”.</w:t>
      </w:r>
    </w:p>
    <w:p>
      <w:pPr>
        <w:pStyle w:val="ListBullet"/>
      </w:pPr>
      <w:r>
        <w:t>Nakazu podpisania notatki jako warunku przyjęcia stanowiska rodzica.</w:t>
      </w:r>
    </w:p>
    <w:p>
      <w:r>
        <w:rPr>
          <w:b/>
          <w:sz w:val="25"/>
        </w:rPr>
        <w:t>Retencja i dostęp</w:t>
      </w:r>
    </w:p>
    <w:p>
      <w:r>
        <w:t>Pusty scenariusz jest narzędziem organizacyjnym. Wypełnioną kartę przygotowania przechowuje się tylko wtedy, gdy ma określony cel i miejsce w aktach. Oficjalne ustalenia należy przenieść do LM9 albo właściwego pisma. Robocze duplikaty bezpiecznie usuwa się po ustaniu celu. Dostęp ogranicza się do osób prowadzących sprawę.</w:t>
      </w:r>
    </w:p>
    <w:p>
      <w:r>
        <w:rPr>
          <w:b/>
          <w:sz w:val="25"/>
        </w:rPr>
        <w:t>Klauzula</w:t>
      </w:r>
    </w:p>
    <w:p>
      <w:r>
        <w:t>Materiał ma charakter wzoru roboczego. Stan prawny na dzień 20 sierpnia 2026 r. Nie zastępuje indywidualnej porady prawnej.</w:t>
      </w:r>
    </w:p>
    <w:p/>
    <w:p>
      <w:r>
        <w:rPr>
          <w:color w:val="5D6066"/>
          <w:sz w:val="16"/>
        </w:rPr>
        <w:t>Materiał ma charakter wzoru roboczego i wymaga dostosowania do statutu oraz organizacji konkretnej placówki. Nie zastępuje indywidualnej porady prawnej. Centrum Doskonalenia Kompetencji Nauczycieli · cdkn.pl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C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