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D6066"/>
          <w:sz w:val="16"/>
        </w:rPr>
        <w:t>CDKN · TECZKA DYREKTORA · LM8</w:t>
      </w:r>
    </w:p>
    <w:p>
      <w:r>
        <w:rPr>
          <w:b/>
          <w:sz w:val="34"/>
        </w:rPr>
        <w:t>Ścieżka zgłoszenia przemocy — schemat jednej strony</w:t>
      </w:r>
    </w:p>
    <w:p>
      <w:r>
        <w:rPr>
          <w:color w:val="5D6066"/>
          <w:sz w:val="18"/>
        </w:rPr>
        <w:t>Wersja 2026-08-v1 · stan prawny na 2026-08-20</w:t>
      </w:r>
    </w:p>
    <w:p/>
    <w:p>
      <w:r>
        <w:rPr>
          <w:b/>
          <w:sz w:val="25"/>
        </w:rPr>
        <w:t>Ważne przed użyciem</w:t>
      </w:r>
    </w:p>
    <w:p>
      <w:r>
        <w:t>Schemat wskazuje role i drogę przekazania. Nie zastępuje Standardów Ochrony Małoletnich ani LM2 „Pierwsze 10 minut po zgłoszeniu przemocy”. Nie ustanawia ustawowych terminów tam, gdzie prawo ich nie określa. W razie bezpośredniego zagrożenia pracownik najpierw podejmuje działania chroniące zdrowie i życie, a nie czeka na dostępność koordynatora.</w:t>
      </w:r>
    </w:p>
    <w:p>
      <w:r>
        <w:rPr>
          <w:b/>
          <w:sz w:val="25"/>
        </w:rPr>
        <w:t>Podstawa</w:t>
      </w:r>
    </w:p>
    <w:p>
      <w:r>
        <w:t>PRZEPIS</w:t>
      </w:r>
    </w:p>
    <w:p>
      <w:pPr>
        <w:pStyle w:val="ListBullet"/>
      </w:pPr>
      <w:r>
        <w:t>Art. 22c ust. 1 pkt 2, 5 i 7 oraz ust. 2 ustawy z 13 maja 2016 r. o przeciwdziałaniu zagrożeniom przestępczością na tle seksualnym i ochronie małoletnich, tekst jedn. Dz.U. z 2026 r. poz. 110: procedura interwencji, osoby odpowiedzialne oraz sposób dokumentowania i przechowywania zdarzeń.</w:t>
      </w:r>
    </w:p>
    <w:p>
      <w:pPr>
        <w:pStyle w:val="ListBullet"/>
      </w:pPr>
      <w:r>
        <w:t>Art. 68 ust. 1 pkt 6 Prawa oświatowego: zadania dyrektora związane ze współpracą z instytucjami udzielającymi pomocy.</w:t>
      </w:r>
    </w:p>
    <w:p>
      <w:pPr>
        <w:pStyle w:val="ListBullet"/>
      </w:pPr>
      <w:r>
        <w:t>Art. 4 ustawy z 9 czerwca 2022 r. o wspieraniu i resocjalizacji nieletnich, tekst jedn. Dz.U. z 2026 r. poz. 163.</w:t>
      </w:r>
    </w:p>
    <w:p>
      <w:pPr>
        <w:pStyle w:val="ListBullet"/>
      </w:pPr>
      <w:r>
        <w:t>Zależnie od ustaleń mogą mieć zastosowanie art. 304 ustawy z 6 czerwca 1997 r. – Kodeks postępowania karnego, tekst jedn. Dz.U. z 2026 r. poz. 490 ze zm., albo art. 572 ustawy z 17 listopada 1964 r. – Kodeks postępowania cywilnego, tekst jedn. Dz.U. z 2026 r. poz. 468 ze zm. Schemat nie rozstrzyga kwalifikacji prawnej konkretnego zdarzenia.</w:t>
      </w:r>
    </w:p>
    <w:p>
      <w:r>
        <w:t>REKOMENDACJA CDKN</w:t>
      </w:r>
    </w:p>
    <w:p>
      <w:r>
        <w:t>Każdy pracownik zna osobę podstawową i zastępcę. Schemat zawiera lokalne cele organizacyjne, oznaczone wyraźnie jako rekomendacja, a nie termin ustawowy.</w:t>
      </w:r>
    </w:p>
    <w:p>
      <w:r>
        <w:t>DECYZJA PLACÓWKI</w:t>
      </w:r>
    </w:p>
    <w:p>
      <w:r>
        <w:t>Placówka ustala role, zastępstwa, kanał alarmowy, sposób rejestracji i osobę podejmującą decyzję o zawiadomieniu.</w:t>
      </w:r>
    </w:p>
    <w:p>
      <w:r>
        <w:rPr>
          <w:b/>
          <w:sz w:val="25"/>
        </w:rPr>
        <w:t>Treść właściwa</w:t>
      </w:r>
    </w:p>
    <w:p>
      <w:r>
        <w:rPr>
          <w:b/>
          <w:sz w:val="25"/>
        </w:rPr>
        <w:t>ZGŁOSZENIE PRZEMOCY — KTO PRZEJMUJE SPRAWĘ</w:t>
      </w:r>
    </w:p>
    <w:p>
      <w:r>
        <w:t>Placówka: [........................................................]</w:t>
      </w:r>
    </w:p>
    <w:p>
      <w:r>
        <w:t>Obowiązuje od: [....................] Wersja: [....................]</w:t>
      </w:r>
    </w:p>
    <w:p>
      <w:r>
        <w:rPr>
          <w:b/>
          <w:sz w:val="25"/>
        </w:rPr>
        <w:t>A. BEZPOŚREDNIE ZAGROŻENIE</w:t>
      </w:r>
    </w:p>
    <w:p>
      <w:r>
        <w:t>Gdy trwa atak, występuje uraz, groźba użycia niebezpiecznego przedmiotu albo inne bezpośrednie zagrożenie:</w:t>
      </w:r>
    </w:p>
    <w:p>
      <w:pPr>
        <w:pStyle w:val="ListNumber"/>
      </w:pPr>
      <w:r>
        <w:t>Przerwij zagrożenie w granicach bezpiecznej reakcji.</w:t>
      </w:r>
    </w:p>
    <w:p>
      <w:pPr>
        <w:pStyle w:val="ListNumber"/>
      </w:pPr>
      <w:r>
        <w:t>Wezwij pomoc: [numer wewnętrzny/112 zgodnie z sytuacją].</w:t>
      </w:r>
    </w:p>
    <w:p>
      <w:pPr>
        <w:pStyle w:val="ListNumber"/>
      </w:pPr>
      <w:r>
        <w:t>Zapewnij opiekę osobom uczestniczącym i świadkom.</w:t>
      </w:r>
    </w:p>
    <w:p>
      <w:pPr>
        <w:pStyle w:val="ListNumber"/>
      </w:pPr>
      <w:r>
        <w:t>Powiadom dyrektora lub zastępcę: [funkcja/kanał].</w:t>
      </w:r>
    </w:p>
    <w:p>
      <w:pPr>
        <w:pStyle w:val="ListNumber"/>
      </w:pPr>
      <w:r>
        <w:t>Dalej stosuj LM2 i Standardy Ochrony Małoletnich.</w:t>
      </w:r>
    </w:p>
    <w:p>
      <w:r>
        <w:t>Nie czekaj na wypełnienie formularza.</w:t>
      </w:r>
    </w:p>
    <w:p>
      <w:r>
        <w:rPr>
          <w:b/>
          <w:sz w:val="25"/>
        </w:rPr>
        <w:t>B. ZGŁOSZENIE BEZ TRWAJĄCEGO ZAGROŻENIA</w:t>
      </w:r>
    </w:p>
    <w:p>
      <w:r>
        <w:rPr>
          <w:b/>
          <w:sz w:val="22"/>
        </w:rPr>
        <w:t>1. Każdy pracownik przyjmuje zgłoszenie</w:t>
      </w:r>
    </w:p>
    <w:p>
      <w:pPr>
        <w:pStyle w:val="ListBullet"/>
      </w:pPr>
      <w:r>
        <w:t>słucha bez przesłuchiwania;</w:t>
      </w:r>
    </w:p>
    <w:p>
      <w:pPr>
        <w:pStyle w:val="ListBullet"/>
      </w:pPr>
      <w:r>
        <w:t>zapisuje minimum potrzebnych informacji;</w:t>
      </w:r>
    </w:p>
    <w:p>
      <w:pPr>
        <w:pStyle w:val="ListBullet"/>
      </w:pPr>
      <w:r>
        <w:t>nie obiecuje tajemnicy;</w:t>
      </w:r>
    </w:p>
    <w:p>
      <w:pPr>
        <w:pStyle w:val="ListBullet"/>
      </w:pPr>
      <w:r>
        <w:t>nie konfrontuje stron;</w:t>
      </w:r>
    </w:p>
    <w:p>
      <w:pPr>
        <w:pStyle w:val="ListBullet"/>
      </w:pPr>
      <w:r>
        <w:t>stosuje LM2.</w:t>
      </w:r>
    </w:p>
    <w:p>
      <w:r>
        <w:rPr>
          <w:b/>
          <w:sz w:val="22"/>
        </w:rPr>
        <w:t>2. Przekazanie prowadzenia</w:t>
      </w:r>
    </w:p>
    <w:p>
      <w:r>
        <w:t>Osoba podstawowa: [imię/funkcja]</w:t>
      </w:r>
    </w:p>
    <w:p>
      <w:r>
        <w:t>Zastępca: [imię/funkcja]</w:t>
      </w:r>
    </w:p>
    <w:p>
      <w:r>
        <w:t>Kanał przekazania: [telefon/system/miejsce]</w:t>
      </w:r>
    </w:p>
    <w:p>
      <w:r>
        <w:t>Jeśli przekazanie zmienia osobę prowadzącą albo sprawa będzie trwała dalej, użyj LM10.</w:t>
      </w:r>
    </w:p>
    <w:p>
      <w:r>
        <w:rPr>
          <w:b/>
          <w:sz w:val="22"/>
        </w:rPr>
        <w:t>3. Koordynacja i ochrona</w:t>
      </w:r>
    </w:p>
    <w:p>
      <w:r>
        <w:t>Prowadzący:</w:t>
      </w:r>
    </w:p>
    <w:p>
      <w:pPr>
        <w:pStyle w:val="ListBullet"/>
      </w:pPr>
      <w:r>
        <w:t>ocenia pilność i potrzeby bezpieczeństwa, nie stawia diagnozy;</w:t>
      </w:r>
    </w:p>
    <w:p>
      <w:pPr>
        <w:pStyle w:val="ListBullet"/>
      </w:pPr>
      <w:r>
        <w:t>oddziela osoby, jeśli wymaga tego bezpieczeństwo;</w:t>
      </w:r>
    </w:p>
    <w:p>
      <w:pPr>
        <w:pStyle w:val="ListBullet"/>
      </w:pPr>
      <w:r>
        <w:t>organizuje rozmowy osobno;</w:t>
      </w:r>
    </w:p>
    <w:p>
      <w:pPr>
        <w:pStyle w:val="ListBullet"/>
      </w:pPr>
      <w:r>
        <w:t>ustala kontakt z rodzicami zgodnie z SOM;</w:t>
      </w:r>
    </w:p>
    <w:p>
      <w:pPr>
        <w:pStyle w:val="ListBullet"/>
      </w:pPr>
      <w:r>
        <w:t>prowadzi dokumentację przez LM9 lub formularz placówki;</w:t>
      </w:r>
    </w:p>
    <w:p>
      <w:pPr>
        <w:pStyle w:val="ListBullet"/>
      </w:pPr>
      <w:r>
        <w:t>uruchamia plan wsparcia, gdy jest wymagany.</w:t>
      </w:r>
    </w:p>
    <w:p>
      <w:r>
        <w:rPr>
          <w:b/>
          <w:sz w:val="22"/>
        </w:rPr>
        <w:t>4. Decyzja o zawiadomieniu</w:t>
      </w:r>
    </w:p>
    <w:p>
      <w:r>
        <w:t>Osoba uprawniona w placówce: [dyrektor/zastępca/inne zgodne z SOM]</w:t>
      </w:r>
    </w:p>
    <w:p>
      <w:r>
        <w:t>Konsultacja: [prawnik/organ prowadzący/specjalista — jeżeli nie opóźnia działania]</w:t>
      </w:r>
    </w:p>
    <w:p>
      <w:r>
        <w:t>Możliwe ścieżki, zależnie od faktów:</w:t>
      </w:r>
    </w:p>
    <w:p>
      <w:pPr>
        <w:pStyle w:val="ListBullet"/>
      </w:pPr>
      <w:r>
        <w:t>numer 112 lub Policja — bezpośrednie zagrożenie albo podejrzenie czynu wymagającego pilnej reakcji;</w:t>
      </w:r>
    </w:p>
    <w:p>
      <w:pPr>
        <w:pStyle w:val="ListBullet"/>
      </w:pPr>
      <w:r>
        <w:t>Policja lub prokuratura — zawiadomienie o podejrzeniu popełnienia przestępstwa;</w:t>
      </w:r>
    </w:p>
    <w:p>
      <w:pPr>
        <w:pStyle w:val="ListBullet"/>
      </w:pPr>
      <w:r>
        <w:t>sąd rodzinny — okoliczności wskazujące na potrzebę wglądu w sytuację dziecka albo demoralizację nieletniego;</w:t>
      </w:r>
    </w:p>
    <w:p>
      <w:pPr>
        <w:pStyle w:val="ListBullet"/>
      </w:pPr>
      <w:r>
        <w:t>pomoc społeczna, zespół interdyscyplinarny lub inne instytucje — zgodnie z właściwą procedurą.</w:t>
      </w:r>
    </w:p>
    <w:p>
      <w:r>
        <w:t>[DO WERYFIKACJI PRAWNEJ: lokalna instrukcja przesłanek, adresatów, podpisu i trybu zawiadomienia]</w:t>
      </w:r>
    </w:p>
    <w:p>
      <w:r>
        <w:rPr>
          <w:b/>
          <w:sz w:val="22"/>
        </w:rPr>
        <w:t>5. Zamknięcie lub dalszy przegląd</w:t>
      </w:r>
    </w:p>
    <w:p>
      <w:r>
        <w:t>Osoba prowadząca: [................................]</w:t>
      </w:r>
    </w:p>
    <w:p>
      <w:r>
        <w:t>Termin lokalnego przeglądu: [................................]</w:t>
      </w:r>
    </w:p>
    <w:p>
      <w:r>
        <w:t>Miejsce dokumentacji: [................................]</w:t>
      </w:r>
    </w:p>
    <w:p>
      <w:r>
        <w:t>Termin powyżej jest decyzją organizacyjną placówki, nie terminem ustawowym, chyba że odrębny przepis stanowi inaczej.</w:t>
      </w:r>
    </w:p>
    <w:p>
      <w:r>
        <w:rPr>
          <w:b/>
          <w:sz w:val="25"/>
        </w:rPr>
        <w:t>Decyzje placówki</w:t>
      </w:r>
    </w:p>
    <w:p>
      <w:pPr>
        <w:pStyle w:val="ListNumber"/>
      </w:pPr>
      <w:r>
        <w:t>Osoba podstawowa, zastępca i kanał alarmowy.</w:t>
      </w:r>
    </w:p>
    <w:p>
      <w:pPr>
        <w:pStyle w:val="ListNumber"/>
      </w:pPr>
      <w:r>
        <w:t>Poziomy pilności oraz kryterium użycia LM10.</w:t>
      </w:r>
    </w:p>
    <w:p>
      <w:pPr>
        <w:pStyle w:val="ListNumber"/>
      </w:pPr>
      <w:r>
        <w:t>Osoba podejmująca decyzję o zawiadomieniu i osoba podpisująca.</w:t>
      </w:r>
    </w:p>
    <w:p>
      <w:pPr>
        <w:pStyle w:val="ListNumber"/>
      </w:pPr>
      <w:r>
        <w:t>Miejsce rejestru interwencji i zasady numeracji.</w:t>
      </w:r>
    </w:p>
    <w:p>
      <w:pPr>
        <w:pStyle w:val="ListNumber"/>
      </w:pPr>
      <w:r>
        <w:t>Lokalna lista Policji, sądu rodzinnego, OPS i innych podmiotów.</w:t>
      </w:r>
    </w:p>
    <w:p>
      <w:pPr>
        <w:pStyle w:val="ListNumber"/>
      </w:pPr>
      <w:r>
        <w:t>Zgodność schematu ze Standardami Ochrony Małoletnich.</w:t>
      </w:r>
    </w:p>
    <w:p>
      <w:r>
        <w:rPr>
          <w:b/>
          <w:sz w:val="25"/>
        </w:rPr>
        <w:t>Czego nie wpisywać</w:t>
      </w:r>
    </w:p>
    <w:p>
      <w:pPr>
        <w:pStyle w:val="ListBullet"/>
      </w:pPr>
      <w:r>
        <w:t>Nazwisk dzieci na egzemplarzu wywieszonym w pokoju nauczycielskim.</w:t>
      </w:r>
    </w:p>
    <w:p>
      <w:pPr>
        <w:pStyle w:val="ListBullet"/>
      </w:pPr>
      <w:r>
        <w:t>Sztywnego „czekamy do 24/48/72 godzin”, jeśli bezpieczeństwo wymaga wcześniejszego działania.</w:t>
      </w:r>
    </w:p>
    <w:p>
      <w:pPr>
        <w:pStyle w:val="ListBullet"/>
      </w:pPr>
      <w:r>
        <w:t>Zasady, że wyłącznie jedna osoba może przyjąć zgłoszenie.</w:t>
      </w:r>
    </w:p>
    <w:p>
      <w:pPr>
        <w:pStyle w:val="ListBullet"/>
      </w:pPr>
      <w:r>
        <w:t>Automatycznego zawiadomienia tego samego organu w każdej sprawie.</w:t>
      </w:r>
    </w:p>
    <w:p>
      <w:pPr>
        <w:pStyle w:val="ListBullet"/>
      </w:pPr>
      <w:r>
        <w:t>Polecenia wspólnej konfrontacji albo mediacji przed oceną bezpieczeństwa.</w:t>
      </w:r>
    </w:p>
    <w:p>
      <w:r>
        <w:rPr>
          <w:b/>
          <w:sz w:val="25"/>
        </w:rPr>
        <w:t>Retencja i dostęp</w:t>
      </w:r>
    </w:p>
    <w:p>
      <w:r>
        <w:t>Sam schemat jest dokumentem organizacyjnym. Placówka przechowuje aktualną i wycofane wersje według JRWA. Dokumentację konkretnej interwencji przechowuje oddzielnie, zgodnie z SOM, celem, kategorią akt i zasadą ograniczenia przechowywania. Schemat nie może być używany jako publiczny rejestr spraw.</w:t>
      </w:r>
    </w:p>
    <w:p>
      <w:r>
        <w:rPr>
          <w:b/>
          <w:sz w:val="25"/>
        </w:rPr>
        <w:t>Klauzula</w:t>
      </w:r>
    </w:p>
    <w:p>
      <w:r>
        <w:t>Materiał ma charakter wzoru roboczego. Stan prawny na dzień 20 sierpnia 2026 r. Nie zastępuje indywidualnej porady prawnej.</w:t>
      </w:r>
    </w:p>
    <w:p/>
    <w:p>
      <w:r>
        <w:rPr>
          <w:color w:val="5D6066"/>
          <w:sz w:val="16"/>
        </w:rPr>
        <w:t>Materiał ma charakter wzoru roboczego i wymaga dostosowania do statutu oraz organizacji konkretnej placówki. Nie zastępuje indywidualnej porady prawnej. Centrum Doskonalenia Kompetencji Nauczycieli · cdkn.pl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71C2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