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LM13</w:t>
      </w:r>
    </w:p>
    <w:p>
      <w:r>
        <w:rPr>
          <w:b/>
          <w:sz w:val="34"/>
        </w:rPr>
        <w:t>Rejestr podstaw i zgód na wykorzystanie wizerunku ucznia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Rejestr nie zastępuje prawidłowej podstawy prawnej, treści zgody ani obowiązku informacyjnego. Sam wpis nie naprawia zgody zbyt ogólnej, wymuszonej lub pozbawionej możliwości łatwego cofnięcia. Każdy rekord trzeba połączyć z dokładną wersją oświadczenia i konkretnym celem publikacji. Materiał należy uzgodnić z inspektorem ochrony danych.</w:t>
      </w:r>
    </w:p>
    <w:p>
      <w:r>
        <w:rPr>
          <w:b/>
          <w:sz w:val="25"/>
        </w:rPr>
        <w:t>Podstawa</w:t>
      </w:r>
    </w:p>
    <w:p>
      <w:r>
        <w:t>PRZEPIS</w:t>
      </w:r>
    </w:p>
    <w:p>
      <w:pPr>
        <w:pStyle w:val="ListBullet"/>
      </w:pPr>
      <w:r>
        <w:t>Art. 81 ustawy z 4 lutego 1994 r. o prawie autorskim i prawach pokrewnych, tekst jedn. Dz.U. z 2025 r. poz. 24, określa zasadę zezwolenia na rozpowszechnianie wizerunku oraz wyjątki wskazane w ust. 2.</w:t>
      </w:r>
    </w:p>
    <w:p>
      <w:pPr>
        <w:pStyle w:val="ListBullet"/>
      </w:pPr>
      <w:r>
        <w:t>Art. 5 RODO: zgodność, rzetelność, przejrzystość, ograniczenie celu, minimalizacja, prawidłowość, ograniczenie przechowywania i rozliczalność.</w:t>
      </w:r>
    </w:p>
    <w:p>
      <w:pPr>
        <w:pStyle w:val="ListBullet"/>
      </w:pPr>
      <w:r>
        <w:t>Art. 6 ust. 1 lit. a i art. 7 RODO: zgoda i warunki jej wykazania oraz cofnięcia.</w:t>
      </w:r>
    </w:p>
    <w:p>
      <w:pPr>
        <w:pStyle w:val="ListBullet"/>
      </w:pPr>
      <w:r>
        <w:t>Art. 12–13 RODO: przejrzysta informacja dla osoby, której dane dotyczą.</w:t>
      </w:r>
    </w:p>
    <w:p>
      <w:pPr>
        <w:pStyle w:val="ListBullet"/>
      </w:pPr>
      <w:r>
        <w:t>Art. 17 RODO: prawo do usunięcia danych z wyjątkami określonymi w tym przepisie.</w:t>
      </w:r>
    </w:p>
    <w:p>
      <w:pPr>
        <w:pStyle w:val="ListBullet"/>
      </w:pPr>
      <w:r>
        <w:t>Art. 32 RODO: bezpieczeństwo przetwarzania.</w:t>
      </w:r>
    </w:p>
    <w:p>
      <w:pPr>
        <w:pStyle w:val="ListBullet"/>
      </w:pPr>
      <w:r>
        <w:t>Art. 23–24 ustawy z 23 kwietnia 1964 r. – Kodeks cywilny, tekst jedn. Dz.U. z 2026 r. poz. 795 ze zm.: ochrona dóbr osobistych.</w:t>
      </w:r>
    </w:p>
    <w:p>
      <w:r>
        <w:t>REKOMENDACJA CDKN</w:t>
      </w:r>
    </w:p>
    <w:p>
      <w:r>
        <w:t>Rozdzielać cele i kanały. Zgoda na galerię wewnętrzną nie oznacza zgody na publiczny profil w mediach społecznościowych. Umożliwić cofnięcie tym samym lub równie prostym kanałem.</w:t>
      </w:r>
    </w:p>
    <w:p>
      <w:r>
        <w:t>DECYZJA PLACÓWKI</w:t>
      </w:r>
    </w:p>
    <w:p>
      <w:r>
        <w:t>Administrator z IOD ustala podstawy, treści zgód, role pracowników, kanały publikacji, proces cofnięcia i retencję.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A. Rejestr podstaw, zgód i publikacji</w:t>
      </w:r>
    </w:p>
    <w:p>
      <w:r>
        <w:t>ID     Uczeń/osoba     Osoba składająca oświadczenie i umocowanie     Wersja zgody/podstawa z art. 81     Cel     Kanał     Zakres wizerunku     Data i sposób pozyskania     Koniec zgody     Publikacja/link/ID     Cofnięcie: data i zakres     Działanie po cofnięciu     Wykonał/data</w:t>
      </w:r>
    </w:p>
    <w:p>
      <w:r>
        <w:t>---   ---   ---   ---   ---   ---   ---   ---   ---   ---   ---   ---   ---</w:t>
      </w:r>
    </w:p>
    <w:p>
      <w:r>
        <w:t>[....]     [....]     [....]     [....]     [....]     [....]     [....]     [....]     [....]     [....]     [....]     [....]     [....]</w:t>
      </w:r>
    </w:p>
    <w:p>
      <w:r>
        <w:t>[....]     [....]     [....]     [....]     [....]     [....]     [....]     [....]     [....]     [....]     [....]     [....]</w:t>
      </w:r>
    </w:p>
    <w:p>
      <w:r>
        <w:rPr>
          <w:b/>
          <w:sz w:val="22"/>
        </w:rPr>
        <w:t>B. Karta podstawy pojedynczego wpisu</w:t>
      </w:r>
    </w:p>
    <w:p>
      <w:r>
        <w:t>Identyfikator wpisu: [................................]</w:t>
      </w:r>
    </w:p>
    <w:p>
      <w:r>
        <w:t>Osoba, której wizerunek dotyczy: [................................................]</w:t>
      </w:r>
    </w:p>
    <w:p>
      <w:r>
        <w:t>Status: [ ] uczeń małoletni [ ] uczeń pełnoletni [ ] inna osoba</w:t>
      </w:r>
    </w:p>
    <w:p>
      <w:r>
        <w:t>Osoba składająca oświadczenie: [..................................................]</w:t>
      </w:r>
    </w:p>
    <w:p>
      <w:r>
        <w:t>Jej umocowanie: [rodzic/opiekun/pełnoletni uczeń/inne]</w:t>
      </w:r>
    </w:p>
    <w:p>
      <w:r>
        <w:t>Stanowisko małoletniego ucznia, jeżeli jest zdolny do jego wyrażenia:</w:t>
      </w:r>
    </w:p>
    <w:p>
      <w:r>
        <w:t>[........................................................................................]</w:t>
      </w:r>
    </w:p>
    <w:p>
      <w:r>
        <w:t>*nie zastępuje wymaganej analizy, kto udziela zezwolenia lub zgody; służy poszanowaniu podmiotowości dziecka*</w:t>
      </w:r>
    </w:p>
    <w:p>
      <w:r>
        <w:t>Podstawa rozpowszechniania:</w:t>
      </w:r>
    </w:p>
    <w:p>
      <w:r>
        <w:t>[ ] zgoda — art. 81 ust. 1 prawa autorskiego i art. 6 ust. 1 lit. a RODO</w:t>
      </w:r>
    </w:p>
    <w:p>
      <w:r>
        <w:t>[ ] wyjątek z art. 81 ust. 2 pkt [....]</w:t>
      </w:r>
    </w:p>
    <w:p>
      <w:r>
        <w:t>[ ] inna podstawa: [................................]</w:t>
      </w:r>
    </w:p>
    <w:p>
      <w:r>
        <w:t>[DO WERYFIKACJI PRAWNEJ: relacja podstawy z art. 81 do podstawy przetwarzania z art. 6 RODO]</w:t>
      </w:r>
    </w:p>
    <w:p>
      <w:r>
        <w:t>Identyfikator i wersja dokładnej treści oświadczenia: [..............................]</w:t>
      </w:r>
    </w:p>
    <w:p>
      <w:r>
        <w:t>Cel: [np. relacja z wydarzenia na stronie szkoły — wpisać konkretnie]</w:t>
      </w:r>
    </w:p>
    <w:p>
      <w:r>
        <w:t>Kanał: [strona/BIP/dziennik/gablota/Facebook/Instagram/materiał drukowany/inny]</w:t>
      </w:r>
    </w:p>
    <w:p>
      <w:r>
        <w:t>Zakres: [zdjęcie indywidualne/grupowe/film/głos/podpis imieniem i nazwiskiem]</w:t>
      </w:r>
    </w:p>
    <w:p>
      <w:r>
        <w:t>Data pozyskania: [................] Sposób: [papier/system/inny]</w:t>
      </w:r>
    </w:p>
    <w:p>
      <w:r>
        <w:t>Okres lub zdarzenie kończące: [....................................................]</w:t>
      </w:r>
    </w:p>
    <w:p>
      <w:r>
        <w:t>Gdzie znajduje się dowód oświadczenia: [............................................]</w:t>
      </w:r>
    </w:p>
    <w:p>
      <w:r>
        <w:rPr>
          <w:b/>
          <w:sz w:val="22"/>
        </w:rPr>
        <w:t>C. Rejestr cofnięcia</w:t>
      </w:r>
    </w:p>
    <w:p>
      <w:r>
        <w:t>Identyfikator zgody: [................................]</w:t>
      </w:r>
    </w:p>
    <w:p>
      <w:r>
        <w:t>Data i godzina przyjęcia cofnięcia: [................................]</w:t>
      </w:r>
    </w:p>
    <w:p>
      <w:r>
        <w:t>Kanał: [................................]</w:t>
      </w:r>
    </w:p>
    <w:p>
      <w:r>
        <w:t>Osoba składająca: [................................]</w:t>
      </w:r>
    </w:p>
    <w:p>
      <w:r>
        <w:t>Zakres cofnięcia:</w:t>
      </w:r>
    </w:p>
    <w:p>
      <w:r>
        <w:t>[ ] wszystkie cele i kanały objęte zgodą</w:t>
      </w:r>
    </w:p>
    <w:p>
      <w:r>
        <w:t>[ ] tylko cel: [................................]</w:t>
      </w:r>
    </w:p>
    <w:p>
      <w:r>
        <w:t>[ ] tylko kanał: [................................]</w:t>
      </w:r>
    </w:p>
    <w:p>
      <w:r>
        <w:t>[ ] konkretna publikacja: [................................]</w:t>
      </w:r>
    </w:p>
    <w:p>
      <w:r>
        <w:t>Materiały objęte działaniem:</w:t>
      </w:r>
    </w:p>
    <w:p>
      <w:r>
        <w:t>Publikacja/ID     Kanał i administrator     Działanie     Data zlecenia     Data wykonania     Wynik/ograniczenie</w:t>
      </w:r>
    </w:p>
    <w:p>
      <w:r>
        <w:t>---   ---   ---   ---   ---   ---</w:t>
      </w:r>
    </w:p>
    <w:p>
      <w:r>
        <w:t>[........]     [........]     [usunąć/ograniczyć/zastąpić]     [........]     [........]     [........]</w:t>
      </w:r>
    </w:p>
    <w:p>
      <w:r>
        <w:t>[........]     [........]     [........]     [........]     [........]     [........]</w:t>
      </w:r>
    </w:p>
    <w:p>
      <w:r>
        <w:t>Potwierdzenie dla osoby cofającej: [data, kanał i treść skrócona]</w:t>
      </w:r>
    </w:p>
    <w:p>
      <w:r>
        <w:t>Uwaga operacyjna: cofnięcie zgody nie wpływa na zgodność przetwarzania dokonanego przed cofnięciem, ale wymaga oceny dalszej publikacji. Usunięcie z własnej strony nie gwarantuje usunięcia wszystkich kopii wykonanych przez osoby trzecie. Placówka dokumentuje realnie wykonane działania, nie obiecuje pełnego usunięcia z internetu.</w:t>
      </w:r>
    </w:p>
    <w:p>
      <w:r>
        <w:rPr>
          <w:b/>
          <w:sz w:val="22"/>
        </w:rPr>
        <w:t>D. Kontrola przed publikacją</w:t>
      </w:r>
    </w:p>
    <w:p>
      <w:r>
        <w:t>[ ] cel i kanał odpowiadają dokładnej treści zgody lub innej podstawie</w:t>
      </w:r>
    </w:p>
    <w:p>
      <w:r>
        <w:t>[ ] zgoda nadal obowiązuje i nie została cofnięta</w:t>
      </w:r>
    </w:p>
    <w:p>
      <w:r>
        <w:t>[ ] materiał nie ujawnia dodatkowych danych ponad zakres</w:t>
      </w:r>
    </w:p>
    <w:p>
      <w:r>
        <w:t>[ ] sprawdzono oznaczenia imieniem, nazwiskiem, lokalizacją i klasą</w:t>
      </w:r>
    </w:p>
    <w:p>
      <w:r>
        <w:t>[ ] publikację wykonuje upoważniona osoba na zatwierdzonym koncie</w:t>
      </w:r>
    </w:p>
    <w:p>
      <w:r>
        <w:t>[ ] zapisano link lub identyfikator umożliwiający reakcję na cofnięcie</w:t>
      </w:r>
    </w:p>
    <w:p>
      <w:r>
        <w:t>Sprawdził(a): [................................] Data: [................]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Osobne cele i kanały w formularzu zgody.</w:t>
      </w:r>
    </w:p>
    <w:p>
      <w:pPr>
        <w:pStyle w:val="ListNumber"/>
      </w:pPr>
      <w:r>
        <w:t>Role: pozyskujący, rejestrujący, publikujący i obsługujący cofnięcie.</w:t>
      </w:r>
    </w:p>
    <w:p>
      <w:pPr>
        <w:pStyle w:val="ListNumber"/>
      </w:pPr>
      <w:r>
        <w:t>Sposób uwzględnienia stanowiska dziecka i statusu ucznia pełnoletniego.</w:t>
      </w:r>
    </w:p>
    <w:p>
      <w:pPr>
        <w:pStyle w:val="ListNumber"/>
      </w:pPr>
      <w:r>
        <w:t>Zakaz publikacji na prywatnych kontach pracowników.</w:t>
      </w:r>
    </w:p>
    <w:p>
      <w:pPr>
        <w:pStyle w:val="ListNumber"/>
      </w:pPr>
      <w:r>
        <w:t>Czas reakcji organizacyjnej na cofnięcie.</w:t>
      </w:r>
    </w:p>
    <w:p>
      <w:pPr>
        <w:pStyle w:val="ListNumber"/>
      </w:pPr>
      <w:r>
        <w:t>Działania dotyczące archiwalnych galerii i materiałów drukowanych.</w:t>
      </w:r>
    </w:p>
    <w:p>
      <w:pPr>
        <w:pStyle w:val="ListNumber"/>
      </w:pPr>
      <w:r>
        <w:t>Kontrola usług zewnętrznych i mediów społecznościowych.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„Zgoda na wszystkie obecne i przyszłe cele bez ograniczeń”.</w:t>
      </w:r>
    </w:p>
    <w:p>
      <w:pPr>
        <w:pStyle w:val="ListBullet"/>
      </w:pPr>
      <w:r>
        <w:t>Domyślnego pola zaznaczonego za rodzica.</w:t>
      </w:r>
    </w:p>
    <w:p>
      <w:pPr>
        <w:pStyle w:val="ListBullet"/>
      </w:pPr>
      <w:r>
        <w:t>Warunku udziału w obowiązkowych zajęciach uzależnionego od zgody promocyjnej.</w:t>
      </w:r>
    </w:p>
    <w:p>
      <w:pPr>
        <w:pStyle w:val="ListBullet"/>
      </w:pPr>
      <w:r>
        <w:t>Jednego wpisu „internet” bez rozróżnienia kanałów.</w:t>
      </w:r>
    </w:p>
    <w:p>
      <w:pPr>
        <w:pStyle w:val="ListBullet"/>
      </w:pPr>
      <w:r>
        <w:t>Cofnięcia bez odnotowania zakresu i wykonanych działań.</w:t>
      </w:r>
    </w:p>
    <w:p>
      <w:pPr>
        <w:pStyle w:val="ListBullet"/>
      </w:pPr>
      <w:r>
        <w:t>Hasła do kont społecznościowych w rejestrze.</w:t>
      </w:r>
    </w:p>
    <w:p>
      <w:pPr>
        <w:pStyle w:val="ListBullet"/>
      </w:pPr>
      <w:r>
        <w:t>Kopii dokumentów tożsamości, jeśli nie są niezbędne.</w:t>
      </w:r>
    </w:p>
    <w:p>
      <w:r>
        <w:rPr>
          <w:b/>
          <w:sz w:val="25"/>
        </w:rPr>
        <w:t>Retencja i dostęp</w:t>
      </w:r>
    </w:p>
    <w:p>
      <w:r>
        <w:t>DECYZJA ADMINISTRATORA PO KONSULTACJI Z IOD: [......................................]</w:t>
      </w:r>
    </w:p>
    <w:p>
      <w:r>
        <w:t>Dowód zgody i rejestr przechowuje się tak długo, jak jest to potrzebne do obsługi publikacji, cofnięcia i wykazania zgodności, z uwzględnieniem właściwych roszczeń i JRWA. Po ustaniu celu dane usuwa się albo anonimizuje, jeśli dalsze zachowanie statystyki jest uzasadnione. Dostęp mają wyłącznie upoważnieni pracownicy. Rejestr powinien znajdować się w systemie z kontrolą dostępu i historią zmian.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