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LM6</w:t>
      </w:r>
    </w:p>
    <w:p>
      <w:r>
        <w:rPr>
          <w:b/>
          <w:sz w:val="34"/>
        </w:rPr>
        <w:t>Karta procedury reakcji — telefony i inne urządzenia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To karta stanowiskowa do powieszenia w pokoju nauczycielskim. Nie zastępuje statutu ani LM1. Przed wydrukiem trzeba wpisać właściwy paragraf, miejsce przechowywania i osobę kontaktową. Karta nie daje prawa do użycia siły ani do sprawdzania urządzenia.</w:t>
      </w:r>
    </w:p>
    <w:p>
      <w:r>
        <w:rPr>
          <w:b/>
          <w:sz w:val="25"/>
        </w:rPr>
        <w:t>Podstawa</w:t>
      </w:r>
    </w:p>
    <w:p>
      <w:r>
        <w:t>PRZEPIS: art. 98a–98d Prawa oświatowego od 1 września 2026 r.; art. 2–3 ustawy z 3 lipca 2026 r., Dz.U. poz. 1036; statut placówki.</w:t>
      </w:r>
    </w:p>
    <w:p>
      <w:r>
        <w:t>REKOMENDACJA CDKN: jedna spokojna instrukcja dla wszystkich pracowników.</w:t>
      </w:r>
    </w:p>
    <w:p>
      <w:r>
        <w:t>DECYZJA PLACÓWKI: szczegółowe działania, role i sposób przechowywania.</w:t>
      </w:r>
    </w:p>
    <w:p>
      <w:r>
        <w:rPr>
          <w:b/>
          <w:sz w:val="25"/>
        </w:rPr>
        <w:t>Treść właściwa</w:t>
      </w:r>
    </w:p>
    <w:p>
      <w:r>
        <w:rPr>
          <w:b/>
          <w:sz w:val="25"/>
        </w:rPr>
        <w:t>TELEFON LUB INNE URZĄDZENIE — 7 KROKÓW</w:t>
      </w:r>
    </w:p>
    <w:p>
      <w:r>
        <w:t>Obowiązuje od: [....................]</w:t>
      </w:r>
    </w:p>
    <w:p>
      <w:r>
        <w:t>Podstawa w statucie: [§ ........ ust. ........]</w:t>
      </w:r>
    </w:p>
    <w:p>
      <w:r>
        <w:t>Wersja karty: [....................]</w:t>
      </w:r>
    </w:p>
    <w:p>
      <w:r>
        <w:rPr>
          <w:b/>
          <w:sz w:val="25"/>
        </w:rPr>
        <w:t>1. SPRAWDŹ, CZY ZACHODZI WYJĄTEK</w:t>
      </w:r>
    </w:p>
    <w:p>
      <w:pPr>
        <w:pStyle w:val="ListBullet"/>
      </w:pPr>
      <w:r>
        <w:t>Czy nauczyciel zezwolił na użycie urządzenia?</w:t>
      </w:r>
    </w:p>
    <w:p>
      <w:pPr>
        <w:pStyle w:val="ListBullet"/>
      </w:pPr>
      <w:r>
        <w:t>Czy uczeń zgłasza pilny kontakt?</w:t>
      </w:r>
    </w:p>
    <w:p>
      <w:pPr>
        <w:pStyle w:val="ListBullet"/>
      </w:pPr>
      <w:r>
        <w:t>Czy istnieje zatwierdzone rozwiązanie związane ze zdrowiem, niepełnosprawnością lub szczególną potrzebą?</w:t>
      </w:r>
    </w:p>
    <w:p>
      <w:pPr>
        <w:pStyle w:val="ListBullet"/>
      </w:pPr>
      <w:r>
        <w:t>Czy występuje bezpośrednie zagrożenie zdrowia, życia albo mienia?</w:t>
      </w:r>
    </w:p>
    <w:p>
      <w:r>
        <w:t>Jeśli tak — zastosuj właściwy wyjątek. Nie żądaj publicznego ujawnienia diagnozy.</w:t>
      </w:r>
    </w:p>
    <w:p>
      <w:r>
        <w:rPr>
          <w:b/>
          <w:sz w:val="25"/>
        </w:rPr>
        <w:t>2. NAZWIJ ZASADĘ</w:t>
      </w:r>
    </w:p>
    <w:p>
      <w:r>
        <w:t>Powiedz krótko:</w:t>
      </w:r>
    </w:p>
    <w:p>
      <w:pPr>
        <w:ind w:left="340"/>
      </w:pPr>
      <w:r>
        <w:rPr>
          <w:i/>
          <w:color w:val="5D6066"/>
        </w:rPr>
        <w:t>„Zgodnie z § [numer] statutu teraz nie korzystamy z tego urządzenia.”</w:t>
      </w:r>
    </w:p>
    <w:p>
      <w:r>
        <w:rPr>
          <w:b/>
          <w:sz w:val="25"/>
        </w:rPr>
        <w:t>3. WYDAJ JEDNOZNACZNE POLECENIE</w:t>
      </w:r>
    </w:p>
    <w:p>
      <w:pPr>
        <w:ind w:left="340"/>
      </w:pPr>
      <w:r>
        <w:rPr>
          <w:i/>
          <w:color w:val="5D6066"/>
        </w:rPr>
        <w:t>„Proszę teraz [odłożyć/wyłączyć/umieścić urządzenie w zatwierdzonym miejscu].”</w:t>
      </w:r>
    </w:p>
    <w:p>
      <w:r>
        <w:t>Nie dotykaj ucznia. Nie wyrywaj urządzenia. Nie żądaj hasła.</w:t>
      </w:r>
    </w:p>
    <w:p>
      <w:r>
        <w:rPr>
          <w:b/>
          <w:sz w:val="25"/>
        </w:rPr>
        <w:t>4. DAJ CZAS NA WYKONANIE</w:t>
      </w:r>
    </w:p>
    <w:p>
      <w:r>
        <w:t>Nie prowadź sporu przy całej klasie. Jeśli uczeń wykonuje polecenie, wróć do zajęć.</w:t>
      </w:r>
    </w:p>
    <w:p>
      <w:r>
        <w:rPr>
          <w:b/>
          <w:sz w:val="25"/>
        </w:rPr>
        <w:t>5. PRZY ODMOWIE</w:t>
      </w:r>
    </w:p>
    <w:p>
      <w:pPr>
        <w:pStyle w:val="ListBullet"/>
      </w:pPr>
      <w:r>
        <w:t>Powtórz polecenie raz.</w:t>
      </w:r>
    </w:p>
    <w:p>
      <w:pPr>
        <w:pStyle w:val="ListBullet"/>
      </w:pPr>
      <w:r>
        <w:t>Nazwij dalszy krok przewidziany procedurą.</w:t>
      </w:r>
    </w:p>
    <w:p>
      <w:pPr>
        <w:pStyle w:val="ListBullet"/>
      </w:pPr>
      <w:r>
        <w:t>Powiadom [wychowawcę/dyrektora/osobę] przez [kanał].</w:t>
      </w:r>
    </w:p>
    <w:p>
      <w:pPr>
        <w:pStyle w:val="ListBullet"/>
      </w:pPr>
      <w:r>
        <w:t>Nie stosuj siły i nie przeglądaj telefonu.</w:t>
      </w:r>
    </w:p>
    <w:p>
      <w:r>
        <w:rPr>
          <w:b/>
          <w:sz w:val="25"/>
        </w:rPr>
        <w:t>6. JEŚLI PLACÓWKA ORGANIZUJE PRZECHOWYWANIE</w:t>
      </w:r>
    </w:p>
    <w:p>
      <w:r>
        <w:t>Uczeń umieszcza urządzenie w: [miejsce].</w:t>
      </w:r>
    </w:p>
    <w:p>
      <w:r>
        <w:t>Zwrot następuje: [osoba, sposób i moment].</w:t>
      </w:r>
    </w:p>
    <w:p>
      <w:r>
        <w:t>Ewidencja: [sposób].</w:t>
      </w:r>
    </w:p>
    <w:p>
      <w:r>
        <w:t>Stosuj ten krok wyłącznie, jeśli przechowywanie zostało zorganizowane zgodnie z art. 98b Prawa oświatowego i lokalną procedurą.</w:t>
      </w:r>
    </w:p>
    <w:p>
      <w:r>
        <w:rPr>
          <w:b/>
          <w:sz w:val="25"/>
        </w:rPr>
        <w:t>7. UDOKUMENTUJ TYLKO TO, CO POTRZEBNE</w:t>
      </w:r>
    </w:p>
    <w:p>
      <w:r>
        <w:t>LM4 sporządź, gdy: [kryteria placówki].</w:t>
      </w:r>
    </w:p>
    <w:p>
      <w:r>
        <w:t>LM9 sporządź, gdy trzeba odtworzyć istotną rozmowę lub decyzję.</w:t>
      </w:r>
    </w:p>
    <w:p>
      <w:r>
        <w:t>Przekaż sprawę przez LM10, gdy zmienia się osoba prowadząca.</w:t>
      </w:r>
    </w:p>
    <w:p>
      <w:r>
        <w:t>Kontakt w sytuacji trudnej: [imię/funkcja/numer wewnętrzny]</w:t>
      </w:r>
    </w:p>
    <w:p>
      <w:r>
        <w:t>Zastępstwo: [........................................................]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Wpisać dokładne polecenie zgodne ze statutem.</w:t>
      </w:r>
    </w:p>
    <w:p>
      <w:pPr>
        <w:pStyle w:val="ListNumber"/>
      </w:pPr>
      <w:r>
        <w:t>Ustalić kryteria LM4.</w:t>
      </w:r>
    </w:p>
    <w:p>
      <w:pPr>
        <w:pStyle w:val="ListNumber"/>
      </w:pPr>
      <w:r>
        <w:t>Wskazać osobę i zastępstwo przy odmowie.</w:t>
      </w:r>
    </w:p>
    <w:p>
      <w:pPr>
        <w:pStyle w:val="ListNumber"/>
      </w:pPr>
      <w:r>
        <w:t>Opisać depozyt tylko po spełnieniu art. 98b.</w:t>
      </w:r>
    </w:p>
    <w:p>
      <w:pPr>
        <w:pStyle w:val="ListNumber"/>
      </w:pPr>
      <w:r>
        <w:t>Przyjąć wersję dla wycieczek.</w:t>
      </w:r>
    </w:p>
    <w:p>
      <w:pPr>
        <w:pStyle w:val="ListNumber"/>
      </w:pPr>
      <w:r>
        <w:t>Wprowadzić kontrolę wersji i datę przeglądu.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„Zabierz telefon uczniowi” bez opisania legalnego i bezpiecznego trybu.</w:t>
      </w:r>
    </w:p>
    <w:p>
      <w:pPr>
        <w:pStyle w:val="ListBullet"/>
      </w:pPr>
      <w:r>
        <w:t>„Przeszukaj urządzenie”.</w:t>
      </w:r>
    </w:p>
    <w:p>
      <w:pPr>
        <w:pStyle w:val="ListBullet"/>
      </w:pPr>
      <w:r>
        <w:t>„Wezwij policję przy każdej odmowie”.</w:t>
      </w:r>
    </w:p>
    <w:p>
      <w:pPr>
        <w:pStyle w:val="ListBullet"/>
      </w:pPr>
      <w:r>
        <w:t>Nieistniejących ustawowych terminów.</w:t>
      </w:r>
    </w:p>
    <w:p>
      <w:pPr>
        <w:pStyle w:val="ListBullet"/>
      </w:pPr>
      <w:r>
        <w:t>Nazwisk uczniów na karcie wiszącej w pokoju nauczycielskim.</w:t>
      </w:r>
    </w:p>
    <w:p>
      <w:r>
        <w:rPr>
          <w:b/>
          <w:sz w:val="25"/>
        </w:rPr>
        <w:t>Retencja i dostęp</w:t>
      </w:r>
    </w:p>
    <w:p>
      <w:r>
        <w:t>Karta nie zawiera danych konkretnych uczniów. Placówka zachowuje wersję aktualną i wersje wycofane według lokalnego wykazu akt. Dostęp otrzymują wszyscy pracownicy, których procedura dotyczy. Nie należy wywieszać jej w miejscu dostępnym osobom postronnym, jeśli zawiera wewnętrzne numery lub dane pracowników.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