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LM15</w:t>
      </w:r>
    </w:p>
    <w:p>
      <w:r>
        <w:rPr>
          <w:b/>
          <w:sz w:val="34"/>
        </w:rPr>
        <w:t>Plan uruchomienia wdrożenia na 14 dni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Plan obejmuje pierwsze 14 dni po szkoleniu. Nie oznacza, że każdą zmianę da się w tym czasie zakończyć. W szczególności uchwały, opinie, zgody organów i dostosowanie statutu muszą przebiegać w prawidłowym trybie. Plan nie służy do wpisywania danych konkretnych uczniów ani opisów interwencji.</w:t>
      </w:r>
    </w:p>
    <w:p>
      <w:r>
        <w:rPr>
          <w:b/>
          <w:sz w:val="25"/>
        </w:rPr>
        <w:t>Podstawa</w:t>
      </w:r>
    </w:p>
    <w:p>
      <w:r>
        <w:t>PRZEPIS</w:t>
      </w:r>
    </w:p>
    <w:p>
      <w:r>
        <w:t>Plan jako narzędzie zarządcze nie ma jednej ustawowej podstawy. Poszczególne działania opierają się na właściwych przepisach, w szczególności:</w:t>
      </w:r>
    </w:p>
    <w:p>
      <w:pPr>
        <w:pStyle w:val="ListBullet"/>
      </w:pPr>
      <w:r>
        <w:t>art. 68 Prawa oświatowego — zadania dyrektora;</w:t>
      </w:r>
    </w:p>
    <w:p>
      <w:pPr>
        <w:pStyle w:val="ListBullet"/>
      </w:pPr>
      <w:r>
        <w:t>art. 70–73, 80 i 82 — kompetencje organów oraz uchwały;</w:t>
      </w:r>
    </w:p>
    <w:p>
      <w:pPr>
        <w:pStyle w:val="ListBullet"/>
      </w:pPr>
      <w:r>
        <w:t>art. 98a–98d od 1 września 2026 r. — zasady urządzeń;</w:t>
      </w:r>
    </w:p>
    <w:p>
      <w:pPr>
        <w:pStyle w:val="ListBullet"/>
      </w:pPr>
      <w:r>
        <w:t>art. 2 ustawy z 3 lipca 2026 r., Dz.U. poz. 1036 — dostosowanie statutu do 31 grudnia 2026 r.;</w:t>
      </w:r>
    </w:p>
    <w:p>
      <w:pPr>
        <w:pStyle w:val="ListBullet"/>
      </w:pPr>
      <w:r>
        <w:t>art. 22c ustawy o ochronie małoletnich — procedury i dokumentowanie;</w:t>
      </w:r>
    </w:p>
    <w:p>
      <w:pPr>
        <w:pStyle w:val="ListBullet"/>
      </w:pPr>
      <w:r>
        <w:t>art. 5 i 32 RODO — minimalizacja i zabezpieczenie danych.</w:t>
      </w:r>
    </w:p>
    <w:p>
      <w:r>
        <w:t>REKOMENDACJA CDKN</w:t>
      </w:r>
    </w:p>
    <w:p>
      <w:r>
        <w:t>Każde zadanie ma jednego właściciela, termin, zależność i dowód wykonania. Po 14. dniu dyrektor ustala przegląd 30-dniowy.</w:t>
      </w:r>
    </w:p>
    <w:p>
      <w:r>
        <w:t>DECYZJA PLACÓWKI</w:t>
      </w:r>
    </w:p>
    <w:p>
      <w:r>
        <w:t>Dyrektor wybiera zakres wdrożenia, priorytety, warianty dokumentów, właścicieli i organy podejmujące decyzje.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A. Karta uruchomienia</w:t>
      </w:r>
    </w:p>
    <w:p>
      <w:r>
        <w:t>Placówka: [........................................................................]</w:t>
      </w:r>
    </w:p>
    <w:p>
      <w:r>
        <w:t>Szkolenie: [nazwa i data]</w:t>
      </w:r>
    </w:p>
    <w:p>
      <w:r>
        <w:t>Zakres wdrożenia: [telefony/interwencja/rodzice/dane/inny]</w:t>
      </w:r>
    </w:p>
    <w:p>
      <w:r>
        <w:t>Dyrektor odpowiedzialny: [................................]</w:t>
      </w:r>
    </w:p>
    <w:p>
      <w:r>
        <w:t>Koordynator wdrożenia: [................................]</w:t>
      </w:r>
    </w:p>
    <w:p>
      <w:r>
        <w:t>Data dnia 1: [................] Data dnia 14: [................]</w:t>
      </w:r>
    </w:p>
    <w:p>
      <w:r>
        <w:t>Cel na 14 dni:</w:t>
      </w:r>
    </w:p>
    <w:p>
      <w:r>
        <w:t>[........................................................................................]</w:t>
      </w:r>
    </w:p>
    <w:p>
      <w:r>
        <w:t>*np. uruchomić uzgodniony tryb pracy nad statutem, przeszkolić pracowników i przygotować komunikację; nie „zapewnić pełną zgodność”*</w:t>
      </w:r>
    </w:p>
    <w:p>
      <w:r>
        <w:rPr>
          <w:b/>
          <w:sz w:val="22"/>
        </w:rPr>
        <w:t>B. Rejestr decyzji wstępnych</w:t>
      </w:r>
    </w:p>
    <w:p>
      <w:r>
        <w:t>Obszar     PRZEPIS     REKOMENDACJA CDKN     DECYZJA PLACÓWKI     Decydent/organ     Termin</w:t>
      </w:r>
    </w:p>
    <w:p>
      <w:r>
        <w:t>---   ---   ---   ---   ---   ---</w:t>
      </w:r>
    </w:p>
    <w:p>
      <w:r>
        <w:t>Statut i telefony     art. 98a–98d; termin 31.12.2026     wybrać spójny LM1     [wariant]     [....]     [....]</w:t>
      </w:r>
    </w:p>
    <w:p>
      <w:r>
        <w:t>Przechowywanie urządzeń     art. 98b i wymagany tryb     nie uruchamiać bez warunków bezpieczeństwa     [tak/nie/wariant]     [....]     [....]</w:t>
      </w:r>
    </w:p>
    <w:p>
      <w:r>
        <w:t>Komunikacja     zgodność z przyjętym statutem     LM5 w trzech długościach     [kanał/data]     [....]     [....]</w:t>
      </w:r>
    </w:p>
    <w:p>
      <w:r>
        <w:t>Reakcja pracowników     statut i art. 98d     wspólna karta LM6     [wersja]     [....]     [....]</w:t>
      </w:r>
    </w:p>
    <w:p>
      <w:r>
        <w:t>Interwencje     SOM i art. 22c     spójność LM2, LM8–LM10     [role]     [....]     [....]</w:t>
      </w:r>
    </w:p>
    <w:p>
      <w:r>
        <w:t>Wizerunek     art. 81 i RODO     przegląd LM13 z IOD     [zakres]     [....]     [....]</w:t>
      </w:r>
    </w:p>
    <w:p>
      <w:r>
        <w:rPr>
          <w:b/>
          <w:sz w:val="22"/>
        </w:rPr>
        <w:t>C. Tydzień pierwszy — decyzje i przygotowanie</w:t>
      </w:r>
    </w:p>
    <w:p>
      <w:r>
        <w:rPr>
          <w:b/>
          <w:sz w:val="22"/>
        </w:rPr>
        <w:t>Dzień 1 — wybór zakresu</w:t>
      </w:r>
    </w:p>
    <w:p>
      <w:r>
        <w:t>[ ] zapisać trzy najważniejsze rezultaty organizacyjne szkolenia</w:t>
      </w:r>
    </w:p>
    <w:p>
      <w:r>
        <w:t>[ ] wskazać koordynatora i właścicieli obszarów</w:t>
      </w:r>
    </w:p>
    <w:p>
      <w:r>
        <w:t>[ ] oddzielić obowiązki prawne od rekomendacji i decyzji szkoły</w:t>
      </w:r>
    </w:p>
    <w:p>
      <w:r>
        <w:t>[ ] ustalić dokumenty LM wymagające dostosowania</w:t>
      </w:r>
    </w:p>
    <w:p>
      <w:r>
        <w:t>Dowód wykonania: zatwierdzona karta uruchomienia.</w:t>
      </w:r>
    </w:p>
    <w:p>
      <w:r>
        <w:rPr>
          <w:b/>
          <w:sz w:val="22"/>
        </w:rPr>
        <w:t>Dni 2–3 — audyt stanu obecnego</w:t>
      </w:r>
    </w:p>
    <w:p>
      <w:r>
        <w:t>[ ] porównać aktualny statut z LM1 i przepisami obowiązującymi od 1.09.2026</w:t>
      </w:r>
    </w:p>
    <w:p>
      <w:r>
        <w:t>[ ] ustalić, czy działa rada szkoły i kto uchwala zmianę</w:t>
      </w:r>
    </w:p>
    <w:p>
      <w:r>
        <w:t>[ ] sprawdzić obecną organizację przechowywania urządzeń</w:t>
      </w:r>
    </w:p>
    <w:p>
      <w:r>
        <w:t>[ ] porównać role w SOM z LM8–LM10</w:t>
      </w:r>
    </w:p>
    <w:p>
      <w:r>
        <w:t>[ ] sprawdzić JRWA i skonsultować retencję z IOD/prawnikiem</w:t>
      </w:r>
    </w:p>
    <w:p>
      <w:r>
        <w:t>[ ] sporządzić listę rozbieżności — bez tworzenia dokumentów wstecz</w:t>
      </w:r>
    </w:p>
    <w:p>
      <w:r>
        <w:t>Dowód wykonania: lista rozbieżności z właścicielem każdej pozycji.</w:t>
      </w:r>
    </w:p>
    <w:p>
      <w:r>
        <w:rPr>
          <w:b/>
          <w:sz w:val="22"/>
        </w:rPr>
        <w:t>Dni 4–5 — decyzje placówki</w:t>
      </w:r>
    </w:p>
    <w:p>
      <w:r>
        <w:t>[ ] wybrać wariant LM1</w:t>
      </w:r>
    </w:p>
    <w:p>
      <w:r>
        <w:t>[ ] zdecydować o organizacji przechowywania urządzeń</w:t>
      </w:r>
    </w:p>
    <w:p>
      <w:r>
        <w:t>[ ] ustalić zasady wycieczek i pilnego kontaktu</w:t>
      </w:r>
    </w:p>
    <w:p>
      <w:r>
        <w:t>[ ] zatwierdzić próg stosowania LM4, LM9 i LM10</w:t>
      </w:r>
    </w:p>
    <w:p>
      <w:r>
        <w:t>[ ] wskazać role podstawowe i zastępstwa w LM8</w:t>
      </w:r>
    </w:p>
    <w:p>
      <w:r>
        <w:t>[ ] wybrać daty prac organów i konsultacji</w:t>
      </w:r>
    </w:p>
    <w:p>
      <w:r>
        <w:t>Dowód wykonania: rejestr decyzji z osobą lub organem właściwym do ich podjęcia.</w:t>
      </w:r>
    </w:p>
    <w:p>
      <w:r>
        <w:rPr>
          <w:b/>
          <w:sz w:val="22"/>
        </w:rPr>
        <w:t>Dni 6–7 — projekty i konsultacje</w:t>
      </w:r>
    </w:p>
    <w:p>
      <w:r>
        <w:t>[ ] przygotować projekt LM7 we właściwym wariancie</w:t>
      </w:r>
    </w:p>
    <w:p>
      <w:r>
        <w:t>[ ] przygotować dostosowane LM4–LM6</w:t>
      </w:r>
    </w:p>
    <w:p>
      <w:r>
        <w:t>[ ] przekazać dokumenty do wymaganej opinii, zgody lub konsultacji</w:t>
      </w:r>
    </w:p>
    <w:p>
      <w:r>
        <w:t>[ ] sprawdzić z IOD LM13 i retencję</w:t>
      </w:r>
    </w:p>
    <w:p>
      <w:r>
        <w:t>[ ] odnotować uwagi i decyzje, nie usuwać śladu wersji</w:t>
      </w:r>
    </w:p>
    <w:p>
      <w:r>
        <w:t>Dowód wykonania: pakiet projektów z numerem wersji i wykazem uwag.</w:t>
      </w:r>
    </w:p>
    <w:p>
      <w:r>
        <w:rPr>
          <w:b/>
          <w:sz w:val="22"/>
        </w:rPr>
        <w:t>D. Tydzień drugi — uruchomienie i sprawdzenie</w:t>
      </w:r>
    </w:p>
    <w:p>
      <w:r>
        <w:rPr>
          <w:b/>
          <w:sz w:val="22"/>
        </w:rPr>
        <w:t>Dni 8–9 — przygotowanie pracowników</w:t>
      </w:r>
    </w:p>
    <w:p>
      <w:r>
        <w:t>[ ] przekazać, co wynika z prawa, co jest rekomendacją i co zdecydowała placówka</w:t>
      </w:r>
    </w:p>
    <w:p>
      <w:r>
        <w:t>[ ] przećwiczyć LM6 na dwóch scenariuszach, w tym odmowie</w:t>
      </w:r>
    </w:p>
    <w:p>
      <w:r>
        <w:t>[ ] przypomnieć brak prawa do przeglądania telefonu</w:t>
      </w:r>
    </w:p>
    <w:p>
      <w:r>
        <w:t>[ ] przećwiczyć przekazanie sprawy LM8–LM10</w:t>
      </w:r>
    </w:p>
    <w:p>
      <w:r>
        <w:t>[ ] zebrać pytania, których nie rozstrzygać na miejscu bez sprawdzenia</w:t>
      </w:r>
    </w:p>
    <w:p>
      <w:r>
        <w:t>Dowód wykonania: agenda, lista uczestników według zasad placówki i lista pytań.</w:t>
      </w:r>
    </w:p>
    <w:p>
      <w:r>
        <w:rPr>
          <w:b/>
          <w:sz w:val="22"/>
        </w:rPr>
        <w:t>Dni 10–11 — komunikacja i dostępność</w:t>
      </w:r>
    </w:p>
    <w:p>
      <w:r>
        <w:t>[ ] przygotować LM5 w trzech wersjach</w:t>
      </w:r>
    </w:p>
    <w:p>
      <w:r>
        <w:t>[ ] sprawdzić zgodność dat, wyjątków, wycieczek i depozytu</w:t>
      </w:r>
    </w:p>
    <w:p>
      <w:r>
        <w:t>[ ] wskazać kanał pilnego kontaktu</w:t>
      </w:r>
    </w:p>
    <w:p>
      <w:r>
        <w:t>[ ] zapewnić rodzicom dostęp do pełnych zasad</w:t>
      </w:r>
    </w:p>
    <w:p>
      <w:r>
        <w:t>[ ] przygotować tłumaczenie lub format dostępny, jeśli potrzebny</w:t>
      </w:r>
    </w:p>
    <w:p>
      <w:r>
        <w:t>Warunek: komunikatu o przyjętej zmianie nie wysyła się przed właściwą uchwałą. Można wcześniej poinformować o trwających pracach, wyraźnie oznaczając projekt.</w:t>
      </w:r>
    </w:p>
    <w:p>
      <w:r>
        <w:rPr>
          <w:b/>
          <w:sz w:val="22"/>
        </w:rPr>
        <w:t>Dni 12–13 — kontrola spójności</w:t>
      </w:r>
    </w:p>
    <w:p>
      <w:r>
        <w:t>[ ] LM1, LM4–LM7 mają tę samą zasadę, datę i wyjątki</w:t>
      </w:r>
    </w:p>
    <w:p>
      <w:r>
        <w:t>[ ] LM2 i LM8–LM10 mają te same role i zastępstwa</w:t>
      </w:r>
    </w:p>
    <w:p>
      <w:r>
        <w:t>[ ] LM11–LM12 mają te same granice ujawniania informacji</w:t>
      </w:r>
    </w:p>
    <w:p>
      <w:r>
        <w:t>[ ] LM13 odpowiada aktualnym formularzom zgody</w:t>
      </w:r>
    </w:p>
    <w:p>
      <w:r>
        <w:t>[ ] każda wersja ma datę, właściciela i miejsce publikacji</w:t>
      </w:r>
    </w:p>
    <w:p>
      <w:r>
        <w:t>[ ] pola [DO WERYFIKACJI PRAWNEJ] mają właściciela i termin</w:t>
      </w:r>
    </w:p>
    <w:p>
      <w:r>
        <w:t>Dowód wykonania: podpisana checklista spójności.</w:t>
      </w:r>
    </w:p>
    <w:p>
      <w:r>
        <w:rPr>
          <w:b/>
          <w:sz w:val="22"/>
        </w:rPr>
        <w:t>Dzień 14 — przegląd dyrektora</w:t>
      </w:r>
    </w:p>
    <w:p>
      <w:r>
        <w:t>Pytanie     Tak     Nie     Dowód/brak     Działanie po 14. dniu</w:t>
      </w:r>
    </w:p>
    <w:p>
      <w:r>
        <w:t>---   ---   ---   ---   ---</w:t>
      </w:r>
    </w:p>
    <w:p>
      <w:r>
        <w:t>Czy właściwe organy podjęły decyzje albo mają termin?     [ ]     [ ]     [....]     [....]</w:t>
      </w:r>
    </w:p>
    <w:p>
      <w:r>
        <w:t>Czy pracownicy znają aktualny tryb?     [ ]     [ ]     [....]     [....]</w:t>
      </w:r>
    </w:p>
    <w:p>
      <w:r>
        <w:t>Czy komunikat odpowiada obowiązującym zasadom?     [ ]     [ ]     [....]     [....]</w:t>
      </w:r>
    </w:p>
    <w:p>
      <w:r>
        <w:t>Czy dokumenty mają numer wersji i właściciela?     [ ]     [ ]     [....]     [....]</w:t>
      </w:r>
    </w:p>
    <w:p>
      <w:r>
        <w:t>Czy retencja i dostęp zostały rozstrzygnięte?     [ ]     [ ]     [....]     [....]</w:t>
      </w:r>
    </w:p>
    <w:p>
      <w:r>
        <w:t>Czy pozostały pola do weryfikacji prawnej?     [ ]     [ ]     [....]     [....]</w:t>
      </w:r>
    </w:p>
    <w:p>
      <w:r>
        <w:t>Ocena:</w:t>
      </w:r>
    </w:p>
    <w:p>
      <w:r>
        <w:t>[ ] uruchomienie gotowe</w:t>
      </w:r>
    </w:p>
    <w:p>
      <w:r>
        <w:t>[ ] uruchomienie warunkowe — lista warunków poniżej</w:t>
      </w:r>
    </w:p>
    <w:p>
      <w:r>
        <w:t>[ ] wdrożenie wstrzymane do rozstrzygnięcia</w:t>
      </w:r>
    </w:p>
    <w:p>
      <w:r>
        <w:t>Warunki/braki:</w:t>
      </w:r>
    </w:p>
    <w:p>
      <w:r>
        <w:t>[........................................................................................]</w:t>
      </w:r>
    </w:p>
    <w:p>
      <w:r>
        <w:t>Przegląd 30-dniowy: [data]</w:t>
      </w:r>
    </w:p>
    <w:p>
      <w:r>
        <w:t>Odpowiedzialny: [................................]</w:t>
      </w:r>
    </w:p>
    <w:p>
      <w:r>
        <w:rPr>
          <w:b/>
          <w:sz w:val="22"/>
        </w:rPr>
        <w:t>E. Rejestr działań</w:t>
      </w:r>
    </w:p>
    <w:p>
      <w:r>
        <w:t>ID     Działanie     Powiązany LM     Poziom: przepis/rekomendacja/decyzja     Właściciel     Termin     Zależność     Status     Dowód     Przeszkoda     Następny krok</w:t>
      </w:r>
    </w:p>
    <w:p>
      <w:r>
        <w:t>---   ---   ---   ---   ---   ---   ---   ---   ---   ---   ---</w:t>
      </w:r>
    </w:p>
    <w:p>
      <w:r>
        <w:t>[1]     [....]     [....]     [....]     [....]     [....]     [....]     [....]     [....]     [....]     [....]</w:t>
      </w:r>
    </w:p>
    <w:p>
      <w:r>
        <w:t>[2]     [....]     [....]     [....]     [....]     [....]     [....]     [....]     [....]     [....]     [....]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Zakres i priorytety pierwszych 14 dni.</w:t>
      </w:r>
    </w:p>
    <w:p>
      <w:pPr>
        <w:pStyle w:val="ListNumber"/>
      </w:pPr>
      <w:r>
        <w:t>Właściciel każdego działania i osoba zatwierdzająca.</w:t>
      </w:r>
    </w:p>
    <w:p>
      <w:pPr>
        <w:pStyle w:val="ListNumber"/>
      </w:pPr>
      <w:r>
        <w:t>Wariant LM1 i organizacja depozytu.</w:t>
      </w:r>
    </w:p>
    <w:p>
      <w:pPr>
        <w:pStyle w:val="ListNumber"/>
      </w:pPr>
      <w:r>
        <w:t>Terminy prac organów, konsultacji i komunikacji.</w:t>
      </w:r>
    </w:p>
    <w:p>
      <w:pPr>
        <w:pStyle w:val="ListNumber"/>
      </w:pPr>
      <w:r>
        <w:t>Kryteria „gotowe”, „warunkowe” i „wstrzymane”.</w:t>
      </w:r>
    </w:p>
    <w:p>
      <w:pPr>
        <w:pStyle w:val="ListNumber"/>
      </w:pPr>
      <w:r>
        <w:t>Termin przeglądu 30-dniowego.</w:t>
      </w:r>
    </w:p>
    <w:p>
      <w:pPr>
        <w:pStyle w:val="ListNumber"/>
      </w:pPr>
      <w:r>
        <w:t>Miejsce przechowywania dowodów bez kopiowania akt uczniów.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Danych konkretnych uczniów i opisów zdarzeń.</w:t>
      </w:r>
    </w:p>
    <w:p>
      <w:pPr>
        <w:pStyle w:val="ListBullet"/>
      </w:pPr>
      <w:r>
        <w:t>Statusu „wykonane”, gdy potrzebna uchwała nie została podjęta.</w:t>
      </w:r>
    </w:p>
    <w:p>
      <w:pPr>
        <w:pStyle w:val="ListBullet"/>
      </w:pPr>
      <w:r>
        <w:t>Terminu 14 dni jako terminu ustawowego.</w:t>
      </w:r>
    </w:p>
    <w:p>
      <w:pPr>
        <w:pStyle w:val="ListBullet"/>
      </w:pPr>
      <w:r>
        <w:t>„Pełna zgodność zapewniona”.</w:t>
      </w:r>
    </w:p>
    <w:p>
      <w:pPr>
        <w:pStyle w:val="ListBullet"/>
      </w:pPr>
      <w:r>
        <w:t>Zadania bez właściciela i kryterium wykonania.</w:t>
      </w:r>
    </w:p>
    <w:p>
      <w:pPr>
        <w:pStyle w:val="ListBullet"/>
      </w:pPr>
      <w:r>
        <w:t>Dowodów w postaci zbędnych kopii danych osobowych.</w:t>
      </w:r>
    </w:p>
    <w:p>
      <w:r>
        <w:rPr>
          <w:b/>
          <w:sz w:val="25"/>
        </w:rPr>
        <w:t>Retencja i dostęp</w:t>
      </w:r>
    </w:p>
    <w:p>
      <w:r>
        <w:t>Plan przechowuje się jako dokumentację zarządczą lub związaną z doskonaleniem według właściwego JRWA. Nie staje się repozytorium dokumentów źródłowych — zawiera ich identyfikatory i lokalizacje. Dostęp mają dyrektor, koordynator i właściciele przypisanych działań. DO UZUPEŁNIENIA: [kategoria, miejsce, okres/zdarzenie końcowe].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>
      <w:r>
        <w:rPr>
          <w:b/>
          <w:sz w:val="25"/>
        </w:rPr>
        <w:t>Źródła wspólne dla pakietu</w:t>
      </w:r>
    </w:p>
    <w:p>
      <w:r>
        <w:t>Data dostępu: 20 sierpnia 2026 r.</w:t>
      </w:r>
    </w:p>
    <w:p>
      <w:pPr>
        <w:pStyle w:val="ListBullet"/>
      </w:pPr>
      <w:r>
        <w:t>Prawo oświatowe — tekst jednolity, Dz.U. z 2026 r. poz. 820</w:t>
      </w:r>
    </w:p>
    <w:p>
      <w:pPr>
        <w:pStyle w:val="ListBullet"/>
      </w:pPr>
      <w:r>
        <w:t>Ustawa z 3 lipca 2026 r. zmieniająca Prawo oświatowe, Dz.U. z 2026 r. poz. 1036</w:t>
      </w:r>
    </w:p>
    <w:p>
      <w:pPr>
        <w:pStyle w:val="ListBullet"/>
      </w:pPr>
      <w:r>
        <w:t>Ustawa o ochronie małoletnich — tekst jednolity, Dz.U. z 2026 r. poz. 110</w:t>
      </w:r>
    </w:p>
    <w:p>
      <w:pPr>
        <w:pStyle w:val="ListBullet"/>
      </w:pPr>
      <w:r>
        <w:t>Ustawa o wspieraniu i resocjalizacji nieletnich — tekst jednolity, Dz.U. z 2026 r. poz. 163</w:t>
      </w:r>
    </w:p>
    <w:p>
      <w:pPr>
        <w:pStyle w:val="ListBullet"/>
      </w:pPr>
      <w:r>
        <w:t>Karta Nauczyciela — tekst jednolity, Dz.U. z 2026 r. poz. 515</w:t>
      </w:r>
    </w:p>
    <w:p>
      <w:pPr>
        <w:pStyle w:val="ListBullet"/>
      </w:pPr>
      <w:r>
        <w:t>Kodeks postępowania karnego — tekst jednolity, Dz.U. z 2026 r. poz. 490</w:t>
      </w:r>
    </w:p>
    <w:p>
      <w:pPr>
        <w:pStyle w:val="ListBullet"/>
      </w:pPr>
      <w:r>
        <w:t>Kodeks postępowania cywilnego — tekst jednolity, Dz.U. z 2026 r. poz. 468</w:t>
      </w:r>
    </w:p>
    <w:p>
      <w:pPr>
        <w:pStyle w:val="ListBullet"/>
      </w:pPr>
      <w:r>
        <w:t>Kodeks cywilny — tekst jednolity, Dz.U. z 2026 r. poz. 795</w:t>
      </w:r>
    </w:p>
    <w:p>
      <w:pPr>
        <w:pStyle w:val="ListBullet"/>
      </w:pPr>
      <w:r>
        <w:t>Kodeks pracy — tekst jednolity, Dz.U. z 2025 r. poz. 277</w:t>
      </w:r>
    </w:p>
    <w:p>
      <w:pPr>
        <w:pStyle w:val="ListBullet"/>
      </w:pPr>
      <w:r>
        <w:t>Prawo autorskie i prawa pokrewne — tekst jednolity, Dz.U. z 2025 r. poz. 24</w:t>
      </w:r>
    </w:p>
    <w:p>
      <w:pPr>
        <w:pStyle w:val="ListBullet"/>
      </w:pPr>
      <w:r>
        <w:t>Rozporządzenie w sprawie nadzoru pedagogicznego, Dz.U. z 2024 r. poz. 15</w:t>
      </w:r>
    </w:p>
    <w:p>
      <w:pPr>
        <w:pStyle w:val="ListBullet"/>
      </w:pPr>
      <w:r>
        <w:t>MEN — nadzór pedagogiczny, plany i arkusze kontroli</w:t>
      </w:r>
    </w:p>
    <w:p>
      <w:pPr>
        <w:pStyle w:val="ListBullet"/>
      </w:pPr>
      <w:r>
        <w:t>RODO — rozporządzenie (UE) 2016/679</w:t>
      </w:r>
    </w:p>
    <w:p>
      <w:pPr>
        <w:pStyle w:val="ListBullet"/>
      </w:pPr>
      <w:r>
        <w:t>UODO — Ochrona danych osobowych w szkołach i placówkach oświatowych</w:t>
      </w:r>
    </w:p>
    <w:p>
      <w:pPr>
        <w:pStyle w:val="ListBullet"/>
      </w:pPr>
      <w:r>
        <w:t>UODO — materiał o wizerunku dzieci w internecie, 30 maja 2025 r.</w:t>
      </w:r>
    </w:p>
    <w:p>
      <w:r>
        <w:t>Koniec pakietu LM4–LM15.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